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586B" w14:textId="619922BA" w:rsidR="00DF14C4" w:rsidRPr="00BE2ED1" w:rsidRDefault="00FA76C6">
      <w:pPr>
        <w:rPr>
          <w:rFonts w:cstheme="minorHAnsi"/>
        </w:rPr>
      </w:pPr>
      <w:r w:rsidRPr="00BE2ED1">
        <w:rPr>
          <w:rFonts w:cstheme="minorHAnsi"/>
        </w:rPr>
        <w:t xml:space="preserve">Macroeconomics </w:t>
      </w:r>
    </w:p>
    <w:p w14:paraId="4AD6235F" w14:textId="1417D047" w:rsidR="00FA76C6" w:rsidRPr="00BE2ED1" w:rsidRDefault="00FA76C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293"/>
        <w:gridCol w:w="6431"/>
      </w:tblGrid>
      <w:tr w:rsidR="001258F6" w:rsidRPr="00BE2ED1" w14:paraId="48D23CE6" w14:textId="77777777" w:rsidTr="001258F6">
        <w:tc>
          <w:tcPr>
            <w:tcW w:w="1555" w:type="dxa"/>
          </w:tcPr>
          <w:p w14:paraId="771BEE0D" w14:textId="6DB7B3EB" w:rsidR="001258F6" w:rsidRPr="00BE2ED1" w:rsidRDefault="001258F6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BE2ED1">
              <w:rPr>
                <w:rFonts w:eastAsia="Times New Roman" w:cstheme="minorHAnsi"/>
                <w:b/>
                <w:bCs/>
                <w:lang w:eastAsia="en-GB"/>
              </w:rPr>
              <w:t xml:space="preserve">Unemployment </w:t>
            </w:r>
          </w:p>
        </w:tc>
        <w:tc>
          <w:tcPr>
            <w:tcW w:w="882" w:type="dxa"/>
          </w:tcPr>
          <w:p w14:paraId="71AE352D" w14:textId="1D76F183" w:rsidR="001258F6" w:rsidRPr="00BE2ED1" w:rsidRDefault="001258F6">
            <w:pPr>
              <w:rPr>
                <w:rFonts w:cstheme="minorHAnsi"/>
              </w:rPr>
            </w:pPr>
            <w:r w:rsidRPr="00BE2ED1">
              <w:rPr>
                <w:rFonts w:eastAsia="Times New Roman" w:cstheme="minorHAnsi"/>
                <w:lang w:eastAsia="en-GB"/>
              </w:rPr>
              <w:t>Low unemployment</w:t>
            </w:r>
          </w:p>
        </w:tc>
        <w:tc>
          <w:tcPr>
            <w:tcW w:w="6579" w:type="dxa"/>
          </w:tcPr>
          <w:p w14:paraId="11AD7F2D" w14:textId="77777777" w:rsidR="001258F6" w:rsidRPr="00BE2ED1" w:rsidRDefault="001258F6" w:rsidP="00FA76C6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Germany 2.3%</w:t>
            </w:r>
          </w:p>
          <w:p w14:paraId="47F48CCE" w14:textId="77777777" w:rsidR="001258F6" w:rsidRPr="00BE2ED1" w:rsidRDefault="001258F6" w:rsidP="00FA76C6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Cambodia 0.7%</w:t>
            </w:r>
          </w:p>
          <w:p w14:paraId="1B4898DA" w14:textId="77777777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  <w:hyperlink r:id="rId5" w:history="1">
              <w:r w:rsidRPr="00BE2ED1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https://www.investopedia.com/articles/personal-finance/062315/unemployment-rates-country.asp</w:t>
              </w:r>
            </w:hyperlink>
          </w:p>
          <w:p w14:paraId="4B1CA774" w14:textId="77777777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</w:p>
          <w:p w14:paraId="433AFB94" w14:textId="77777777" w:rsidR="001258F6" w:rsidRPr="00BE2ED1" w:rsidRDefault="001258F6">
            <w:pPr>
              <w:rPr>
                <w:rFonts w:cstheme="minorHAnsi"/>
              </w:rPr>
            </w:pPr>
          </w:p>
        </w:tc>
      </w:tr>
      <w:tr w:rsidR="001258F6" w:rsidRPr="00BE2ED1" w14:paraId="57BCB5A9" w14:textId="77777777" w:rsidTr="001258F6">
        <w:tc>
          <w:tcPr>
            <w:tcW w:w="1555" w:type="dxa"/>
          </w:tcPr>
          <w:p w14:paraId="5C50C7E0" w14:textId="77777777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2" w:type="dxa"/>
          </w:tcPr>
          <w:p w14:paraId="45FCBA61" w14:textId="05886329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Structural unemployment:</w:t>
            </w:r>
          </w:p>
          <w:p w14:paraId="44771F1E" w14:textId="77777777" w:rsidR="001258F6" w:rsidRPr="00BE2ED1" w:rsidRDefault="001258F6" w:rsidP="00FA76C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6579" w:type="dxa"/>
          </w:tcPr>
          <w:p w14:paraId="19BAF699" w14:textId="77777777" w:rsidR="001258F6" w:rsidRPr="00BE2ED1" w:rsidRDefault="001258F6" w:rsidP="00FA76C6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South Africa has a long running structural unemployment due to issues stemming from distance from work areas, lack of skills, lack of competition in some sectors, poverty which works against individuals - are still a result from apartheid</w:t>
            </w:r>
          </w:p>
          <w:p w14:paraId="348CC208" w14:textId="77777777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  <w:hyperlink r:id="rId6" w:history="1">
              <w:r w:rsidRPr="00BE2ED1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https://theconversation.com/south-africas-labour-market-trends-from-2009-to-2019-a-lost-decade-167645</w:t>
              </w:r>
            </w:hyperlink>
          </w:p>
          <w:p w14:paraId="16FC8DB7" w14:textId="77777777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  <w:hyperlink r:id="rId7" w:history="1">
              <w:r w:rsidRPr="00BE2ED1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https://theconversation.com/south-africas-employment-tax-incentive-is-not-a-success-story-168124</w:t>
              </w:r>
            </w:hyperlink>
          </w:p>
          <w:p w14:paraId="28F19A64" w14:textId="77777777" w:rsidR="001258F6" w:rsidRPr="00BE2ED1" w:rsidRDefault="001258F6">
            <w:pPr>
              <w:rPr>
                <w:rFonts w:cstheme="minorHAnsi"/>
              </w:rPr>
            </w:pPr>
          </w:p>
        </w:tc>
      </w:tr>
      <w:tr w:rsidR="001258F6" w:rsidRPr="00BE2ED1" w14:paraId="5A0E5A81" w14:textId="77777777" w:rsidTr="001258F6">
        <w:tc>
          <w:tcPr>
            <w:tcW w:w="1555" w:type="dxa"/>
          </w:tcPr>
          <w:p w14:paraId="79C02465" w14:textId="77777777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2" w:type="dxa"/>
          </w:tcPr>
          <w:p w14:paraId="24AAD3AC" w14:textId="2210CE1E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Cyclical unemployment:</w:t>
            </w:r>
          </w:p>
          <w:p w14:paraId="7D91EB3C" w14:textId="77777777" w:rsidR="001258F6" w:rsidRPr="00BE2ED1" w:rsidRDefault="001258F6">
            <w:pPr>
              <w:rPr>
                <w:rFonts w:cstheme="minorHAnsi"/>
              </w:rPr>
            </w:pPr>
          </w:p>
        </w:tc>
        <w:tc>
          <w:tcPr>
            <w:tcW w:w="6579" w:type="dxa"/>
          </w:tcPr>
          <w:p w14:paraId="068926B1" w14:textId="77375186" w:rsidR="001258F6" w:rsidRPr="00BE2ED1" w:rsidRDefault="001258F6" w:rsidP="00FA76C6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P</w:t>
            </w:r>
            <w:r w:rsidRPr="00BE2ED1">
              <w:rPr>
                <w:rFonts w:eastAsia="Times New Roman" w:cstheme="minorHAnsi"/>
                <w:lang w:eastAsia="en-GB"/>
              </w:rPr>
              <w:t>andemic, financial crisis (</w:t>
            </w:r>
            <w:proofErr w:type="gramStart"/>
            <w:r w:rsidRPr="00BE2ED1">
              <w:rPr>
                <w:rFonts w:eastAsia="Times New Roman" w:cstheme="minorHAnsi"/>
                <w:lang w:eastAsia="en-GB"/>
              </w:rPr>
              <w:t>i.e.</w:t>
            </w:r>
            <w:proofErr w:type="gramEnd"/>
            <w:r w:rsidRPr="00BE2ED1">
              <w:rPr>
                <w:rFonts w:eastAsia="Times New Roman" w:cstheme="minorHAnsi"/>
                <w:lang w:eastAsia="en-GB"/>
              </w:rPr>
              <w:t xml:space="preserve"> GFC, 1990 recession) caused cyclical unemployment through the unemployment rate starkly increasing and reducing when these periods of economic uncertainty are over</w:t>
            </w:r>
          </w:p>
          <w:p w14:paraId="61FA4AA4" w14:textId="77777777" w:rsidR="001258F6" w:rsidRPr="00BE2ED1" w:rsidRDefault="001258F6">
            <w:pPr>
              <w:rPr>
                <w:rFonts w:cstheme="minorHAnsi"/>
              </w:rPr>
            </w:pPr>
          </w:p>
        </w:tc>
      </w:tr>
      <w:tr w:rsidR="001258F6" w:rsidRPr="00BE2ED1" w14:paraId="27CFBEC7" w14:textId="77777777" w:rsidTr="001258F6">
        <w:tc>
          <w:tcPr>
            <w:tcW w:w="1555" w:type="dxa"/>
          </w:tcPr>
          <w:p w14:paraId="6E48B35B" w14:textId="77777777" w:rsidR="001258F6" w:rsidRPr="00BE2ED1" w:rsidRDefault="001258F6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2" w:type="dxa"/>
          </w:tcPr>
          <w:p w14:paraId="73B2FA66" w14:textId="5B412C2D" w:rsidR="001258F6" w:rsidRPr="00BE2ED1" w:rsidRDefault="001258F6">
            <w:pPr>
              <w:rPr>
                <w:rFonts w:cstheme="minorHAnsi"/>
              </w:rPr>
            </w:pPr>
            <w:r w:rsidRPr="00BE2ED1">
              <w:rPr>
                <w:rFonts w:eastAsia="Times New Roman" w:cstheme="minorHAnsi"/>
                <w:lang w:eastAsia="en-GB"/>
              </w:rPr>
              <w:t>Frictional unemployment</w:t>
            </w:r>
          </w:p>
        </w:tc>
        <w:tc>
          <w:tcPr>
            <w:tcW w:w="6579" w:type="dxa"/>
          </w:tcPr>
          <w:p w14:paraId="4B277582" w14:textId="77777777" w:rsidR="001258F6" w:rsidRPr="00BE2ED1" w:rsidRDefault="001258F6" w:rsidP="00FA76C6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Missouri (America) is experiencing frictional unemployment due to the increase in jobs available but lack of employees making the match to jobs</w:t>
            </w:r>
          </w:p>
          <w:p w14:paraId="3EF525A7" w14:textId="77777777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  <w:hyperlink r:id="rId8" w:history="1">
              <w:r w:rsidRPr="00BE2ED1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https://krcgtv.com/news/local/missouri-jobs-increased-unemployment-rate-decreased-in-august</w:t>
              </w:r>
            </w:hyperlink>
          </w:p>
          <w:p w14:paraId="343D1EB4" w14:textId="77777777" w:rsidR="001258F6" w:rsidRPr="00BE2ED1" w:rsidRDefault="001258F6">
            <w:pPr>
              <w:rPr>
                <w:rFonts w:cstheme="minorHAnsi"/>
              </w:rPr>
            </w:pPr>
          </w:p>
        </w:tc>
      </w:tr>
      <w:tr w:rsidR="001258F6" w:rsidRPr="00BE2ED1" w14:paraId="49A220C2" w14:textId="77777777" w:rsidTr="001258F6">
        <w:tc>
          <w:tcPr>
            <w:tcW w:w="1555" w:type="dxa"/>
          </w:tcPr>
          <w:p w14:paraId="3474693A" w14:textId="77777777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2" w:type="dxa"/>
          </w:tcPr>
          <w:p w14:paraId="3A4A1F9F" w14:textId="7615914F" w:rsidR="001258F6" w:rsidRPr="00BE2ED1" w:rsidRDefault="001258F6" w:rsidP="00FA76C6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Seasonal unemployment:</w:t>
            </w:r>
          </w:p>
          <w:p w14:paraId="67D69489" w14:textId="77777777" w:rsidR="001258F6" w:rsidRPr="00BE2ED1" w:rsidRDefault="001258F6" w:rsidP="00FA76C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6579" w:type="dxa"/>
          </w:tcPr>
          <w:p w14:paraId="5F064B6B" w14:textId="77777777" w:rsidR="001258F6" w:rsidRPr="00BE2ED1" w:rsidRDefault="001258F6" w:rsidP="00FA76C6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"Christmas casuals" in Australia</w:t>
            </w:r>
          </w:p>
          <w:p w14:paraId="2E0D271C" w14:textId="77777777" w:rsidR="001258F6" w:rsidRPr="00BE2ED1" w:rsidRDefault="001258F6">
            <w:pPr>
              <w:rPr>
                <w:rFonts w:cstheme="minorHAnsi"/>
              </w:rPr>
            </w:pPr>
          </w:p>
        </w:tc>
      </w:tr>
      <w:tr w:rsidR="001258F6" w:rsidRPr="00BE2ED1" w14:paraId="29429A70" w14:textId="77777777" w:rsidTr="001258F6">
        <w:tc>
          <w:tcPr>
            <w:tcW w:w="1555" w:type="dxa"/>
          </w:tcPr>
          <w:p w14:paraId="1D22470B" w14:textId="77777777" w:rsidR="001258F6" w:rsidRPr="00BE2ED1" w:rsidRDefault="001258F6" w:rsidP="009C10CD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2" w:type="dxa"/>
          </w:tcPr>
          <w:p w14:paraId="281CBE16" w14:textId="70F5B4B4" w:rsidR="001258F6" w:rsidRPr="00BE2ED1" w:rsidRDefault="001258F6" w:rsidP="009C10CD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Demand-pull inflation</w:t>
            </w:r>
          </w:p>
          <w:p w14:paraId="6BCF862B" w14:textId="77777777" w:rsidR="001258F6" w:rsidRPr="00BE2ED1" w:rsidRDefault="001258F6">
            <w:pPr>
              <w:rPr>
                <w:rFonts w:cstheme="minorHAnsi"/>
              </w:rPr>
            </w:pPr>
          </w:p>
        </w:tc>
        <w:tc>
          <w:tcPr>
            <w:tcW w:w="6579" w:type="dxa"/>
          </w:tcPr>
          <w:p w14:paraId="42BB7F50" w14:textId="77777777" w:rsidR="001258F6" w:rsidRPr="00BE2ED1" w:rsidRDefault="001258F6" w:rsidP="009C10CD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 xml:space="preserve">Malaysia may experience demand-pull inflation. There </w:t>
            </w:r>
            <w:proofErr w:type="gramStart"/>
            <w:r w:rsidRPr="00BE2ED1">
              <w:rPr>
                <w:rFonts w:eastAsia="Times New Roman" w:cstheme="minorHAnsi"/>
                <w:lang w:eastAsia="en-GB"/>
              </w:rPr>
              <w:t>is</w:t>
            </w:r>
            <w:proofErr w:type="gramEnd"/>
            <w:r w:rsidRPr="00BE2ED1">
              <w:rPr>
                <w:rFonts w:eastAsia="Times New Roman" w:cstheme="minorHAnsi"/>
                <w:lang w:eastAsia="en-GB"/>
              </w:rPr>
              <w:t xml:space="preserve"> currently inflationary pressures on the economy due to high crude oil prices, and as the economy opens up post pandemic (business' open up) economists expect there to be demand-pull inflation</w:t>
            </w:r>
          </w:p>
          <w:p w14:paraId="2E0FFC00" w14:textId="77777777" w:rsidR="001258F6" w:rsidRPr="00BE2ED1" w:rsidRDefault="001258F6" w:rsidP="009C10CD">
            <w:pPr>
              <w:rPr>
                <w:rFonts w:eastAsia="Times New Roman" w:cstheme="minorHAnsi"/>
                <w:lang w:eastAsia="en-GB"/>
              </w:rPr>
            </w:pPr>
            <w:hyperlink r:id="rId9" w:history="1">
              <w:r w:rsidRPr="00BE2ED1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https://themalaysianreserve.com/2021/10/06/economists-foresee-inflationary-pressures-but-not-stagflation/?__cf_chl_jschl_tk__=pmd_8hbYEZsvKjAk_PMVcEp5cp3_EmNP0hxIBOLgJXtKt7Y-1634011189-0-gqNtZGzNApCjcnBszQjR</w:t>
              </w:r>
            </w:hyperlink>
          </w:p>
          <w:p w14:paraId="364360F8" w14:textId="77777777" w:rsidR="001258F6" w:rsidRPr="00BE2ED1" w:rsidRDefault="001258F6" w:rsidP="009C10CD">
            <w:pPr>
              <w:rPr>
                <w:rFonts w:eastAsia="Times New Roman" w:cstheme="minorHAnsi"/>
                <w:lang w:eastAsia="en-GB"/>
              </w:rPr>
            </w:pPr>
          </w:p>
          <w:p w14:paraId="135B1BB5" w14:textId="77777777" w:rsidR="001258F6" w:rsidRPr="00BE2ED1" w:rsidRDefault="001258F6">
            <w:pPr>
              <w:rPr>
                <w:rFonts w:cstheme="minorHAnsi"/>
              </w:rPr>
            </w:pPr>
          </w:p>
        </w:tc>
      </w:tr>
      <w:tr w:rsidR="001258F6" w:rsidRPr="00BE2ED1" w14:paraId="56D8E9BD" w14:textId="77777777" w:rsidTr="001258F6">
        <w:tc>
          <w:tcPr>
            <w:tcW w:w="1555" w:type="dxa"/>
          </w:tcPr>
          <w:p w14:paraId="388C7FDF" w14:textId="77777777" w:rsidR="001258F6" w:rsidRPr="00BE2ED1" w:rsidRDefault="001258F6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82" w:type="dxa"/>
          </w:tcPr>
          <w:p w14:paraId="7B2B908D" w14:textId="470C28F8" w:rsidR="001258F6" w:rsidRPr="00BE2ED1" w:rsidRDefault="001258F6">
            <w:pPr>
              <w:rPr>
                <w:rFonts w:cstheme="minorHAnsi"/>
              </w:rPr>
            </w:pPr>
            <w:r w:rsidRPr="00BE2ED1">
              <w:rPr>
                <w:rFonts w:eastAsia="Times New Roman" w:cstheme="minorHAnsi"/>
                <w:lang w:eastAsia="en-GB"/>
              </w:rPr>
              <w:t>Distribution of income</w:t>
            </w:r>
          </w:p>
        </w:tc>
        <w:tc>
          <w:tcPr>
            <w:tcW w:w="6579" w:type="dxa"/>
          </w:tcPr>
          <w:p w14:paraId="5B2ECBA3" w14:textId="77777777" w:rsidR="001258F6" w:rsidRPr="00BE2ED1" w:rsidRDefault="001258F6" w:rsidP="009C10CD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Australia has a poor distribution of income - the top 1% has more money than the whole middle class</w:t>
            </w:r>
          </w:p>
          <w:p w14:paraId="2D47241A" w14:textId="77777777" w:rsidR="001258F6" w:rsidRPr="00BE2ED1" w:rsidRDefault="001258F6" w:rsidP="009C10CD">
            <w:pPr>
              <w:rPr>
                <w:rFonts w:eastAsia="Times New Roman" w:cstheme="minorHAnsi"/>
                <w:lang w:eastAsia="en-GB"/>
              </w:rPr>
            </w:pPr>
            <w:hyperlink r:id="rId10" w:history="1">
              <w:r w:rsidRPr="00BE2ED1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https://www.businessinsider.com.au/top-1-have-more-money-than-the-middle-class-2021-10</w:t>
              </w:r>
            </w:hyperlink>
          </w:p>
          <w:p w14:paraId="51557791" w14:textId="77777777" w:rsidR="001258F6" w:rsidRPr="00BE2ED1" w:rsidRDefault="001258F6">
            <w:pPr>
              <w:rPr>
                <w:rFonts w:cstheme="minorHAnsi"/>
              </w:rPr>
            </w:pPr>
          </w:p>
        </w:tc>
      </w:tr>
    </w:tbl>
    <w:p w14:paraId="709DE252" w14:textId="7C6BB13C" w:rsidR="00FA76C6" w:rsidRPr="00BE2ED1" w:rsidRDefault="00FA76C6">
      <w:pPr>
        <w:rPr>
          <w:rFonts w:cstheme="minorHAnsi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670"/>
      </w:tblGrid>
      <w:tr w:rsidR="001258F6" w:rsidRPr="00BE2ED1" w14:paraId="200141B1" w14:textId="77777777" w:rsidTr="006F1C8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7640" w14:textId="77777777" w:rsidR="001258F6" w:rsidRPr="00BE2ED1" w:rsidRDefault="001258F6" w:rsidP="006F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Circular flow of income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5B73" w14:textId="77777777" w:rsidR="001258F6" w:rsidRPr="00BE2ED1" w:rsidRDefault="001258F6" w:rsidP="006F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</w:p>
        </w:tc>
      </w:tr>
      <w:tr w:rsidR="001258F6" w:rsidRPr="00BE2ED1" w14:paraId="368587E2" w14:textId="77777777" w:rsidTr="006F1C8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E0E4" w14:textId="77777777" w:rsidR="001258F6" w:rsidRPr="00BE2ED1" w:rsidRDefault="001258F6" w:rsidP="006F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GDP vs GNI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7081" w14:textId="77777777" w:rsidR="001258F6" w:rsidRPr="00BE2ED1" w:rsidRDefault="001258F6" w:rsidP="006F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US - higher GNI than GDP</w:t>
            </w:r>
          </w:p>
          <w:p w14:paraId="70B1F16F" w14:textId="77777777" w:rsidR="001258F6" w:rsidRPr="00BE2ED1" w:rsidRDefault="001258F6" w:rsidP="006F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Due to the high level of workers working abroad, high level of productions processed overseas</w:t>
            </w:r>
          </w:p>
          <w:p w14:paraId="758810BA" w14:textId="77777777" w:rsidR="001258F6" w:rsidRPr="00BE2ED1" w:rsidRDefault="001258F6" w:rsidP="006F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China - higher GDP than GNI</w:t>
            </w:r>
          </w:p>
          <w:p w14:paraId="7FF6B4DD" w14:textId="77777777" w:rsidR="001258F6" w:rsidRPr="00BE2ED1" w:rsidRDefault="001258F6" w:rsidP="006F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High level of domestic output</w:t>
            </w:r>
          </w:p>
        </w:tc>
      </w:tr>
      <w:tr w:rsidR="001258F6" w:rsidRPr="00BE2ED1" w14:paraId="017D0486" w14:textId="77777777" w:rsidTr="006F1C8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BDD9" w14:textId="77777777" w:rsidR="001258F6" w:rsidRPr="00BE2ED1" w:rsidRDefault="001258F6" w:rsidP="006F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Business cycle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F205" w14:textId="77777777" w:rsidR="001258F6" w:rsidRPr="00BE2ED1" w:rsidRDefault="001258F6" w:rsidP="006F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Australia - expansion before COVID</w:t>
            </w:r>
          </w:p>
          <w:p w14:paraId="797E6887" w14:textId="77777777" w:rsidR="001258F6" w:rsidRPr="00BE2ED1" w:rsidRDefault="001258F6" w:rsidP="006F1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Contraction 2020</w:t>
            </w:r>
          </w:p>
        </w:tc>
      </w:tr>
    </w:tbl>
    <w:p w14:paraId="3423375C" w14:textId="77777777" w:rsidR="001258F6" w:rsidRPr="00BE2ED1" w:rsidRDefault="001258F6" w:rsidP="001258F6">
      <w:pPr>
        <w:rPr>
          <w:rFonts w:cstheme="minorHAnsi"/>
        </w:rPr>
      </w:pPr>
    </w:p>
    <w:p w14:paraId="460FA47B" w14:textId="77777777" w:rsidR="001258F6" w:rsidRPr="00BE2ED1" w:rsidRDefault="001258F6" w:rsidP="001258F6">
      <w:pPr>
        <w:rPr>
          <w:rFonts w:cstheme="minorHAnsi"/>
        </w:rPr>
      </w:pPr>
      <w:r w:rsidRPr="00BE2ED1">
        <w:rPr>
          <w:rFonts w:cstheme="minorHAnsi"/>
        </w:rPr>
        <w:t>Aggregate Demand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610"/>
      </w:tblGrid>
      <w:tr w:rsidR="001258F6" w:rsidRPr="00BE2ED1" w14:paraId="333FE58E" w14:textId="77777777" w:rsidTr="006F1C8B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E2C7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Increase in AD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D798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 xml:space="preserve">- ‘G’ USA spends 19.39 trillion dollars in national security and military services </w:t>
            </w:r>
          </w:p>
          <w:p w14:paraId="2E5099E4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 xml:space="preserve"> - ‘G’ Sweden spends 538 billion in military services </w:t>
            </w:r>
          </w:p>
          <w:p w14:paraId="652C9817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 xml:space="preserve">- ‘I’ USA firms invest every year 230 billion into advertising and marketing </w:t>
            </w:r>
          </w:p>
          <w:p w14:paraId="7AD3A981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 xml:space="preserve">- ‘I’ Woolworths spent 780 million to replace 1,300 workers with robots </w:t>
            </w:r>
          </w:p>
          <w:p w14:paraId="251AC36F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</w:p>
          <w:p w14:paraId="0EC83FAF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  <w:tr w:rsidR="001258F6" w:rsidRPr="00BE2ED1" w14:paraId="75231595" w14:textId="77777777" w:rsidTr="006F1C8B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4F47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Decrease in AD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36B3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COVID</w:t>
            </w:r>
          </w:p>
          <w:p w14:paraId="7A3B5E0B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Australia decreases in AD 2020</w:t>
            </w:r>
          </w:p>
          <w:p w14:paraId="5293D736" w14:textId="77777777" w:rsidR="001258F6" w:rsidRPr="00BE2ED1" w:rsidRDefault="001258F6" w:rsidP="001258F6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 xml:space="preserve">Decrease in net export: iron ore/coal to </w:t>
            </w:r>
            <w:proofErr w:type="spellStart"/>
            <w:r w:rsidRPr="00BE2ED1">
              <w:rPr>
                <w:rFonts w:cstheme="minorHAnsi"/>
              </w:rPr>
              <w:t>china</w:t>
            </w:r>
            <w:proofErr w:type="spellEnd"/>
            <w:r w:rsidRPr="00BE2ED1">
              <w:rPr>
                <w:rFonts w:cstheme="minorHAnsi"/>
              </w:rPr>
              <w:t xml:space="preserve"> (major trading partner)</w:t>
            </w:r>
          </w:p>
          <w:p w14:paraId="0CB41F57" w14:textId="77777777" w:rsidR="001258F6" w:rsidRPr="00BE2ED1" w:rsidRDefault="001258F6" w:rsidP="001258F6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Less consumption and investment due to lockdowns and economic instability</w:t>
            </w:r>
          </w:p>
        </w:tc>
      </w:tr>
    </w:tbl>
    <w:p w14:paraId="5DFFF22F" w14:textId="2CC65543" w:rsidR="001258F6" w:rsidRPr="00BE2ED1" w:rsidRDefault="001258F6" w:rsidP="001258F6">
      <w:pPr>
        <w:rPr>
          <w:rFonts w:cstheme="minorHAnsi"/>
        </w:rPr>
      </w:pPr>
    </w:p>
    <w:p w14:paraId="4FC1B0B9" w14:textId="54A58AB0" w:rsidR="001258F6" w:rsidRPr="00BE2ED1" w:rsidRDefault="001258F6" w:rsidP="001258F6">
      <w:pPr>
        <w:rPr>
          <w:rFonts w:cstheme="minorHAnsi"/>
        </w:rPr>
      </w:pPr>
    </w:p>
    <w:p w14:paraId="6DC667D6" w14:textId="77777777" w:rsidR="001258F6" w:rsidRPr="00BE2ED1" w:rsidRDefault="001258F6" w:rsidP="001258F6">
      <w:pPr>
        <w:rPr>
          <w:rFonts w:cstheme="minorHAnsi"/>
        </w:rPr>
      </w:pPr>
    </w:p>
    <w:p w14:paraId="3EFAD50F" w14:textId="77777777" w:rsidR="001258F6" w:rsidRPr="00BE2ED1" w:rsidRDefault="001258F6" w:rsidP="001258F6">
      <w:pPr>
        <w:rPr>
          <w:rFonts w:cstheme="minorHAnsi"/>
        </w:rPr>
      </w:pPr>
      <w:r w:rsidRPr="00BE2ED1">
        <w:rPr>
          <w:rFonts w:cstheme="minorHAnsi"/>
        </w:rPr>
        <w:lastRenderedPageBreak/>
        <w:t>Aggregate Supply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610"/>
      </w:tblGrid>
      <w:tr w:rsidR="001258F6" w:rsidRPr="00BE2ED1" w14:paraId="561C5DFE" w14:textId="77777777" w:rsidTr="006F1C8B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6E13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LRAS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AFA3" w14:textId="77777777" w:rsidR="001258F6" w:rsidRPr="00BE2ED1" w:rsidRDefault="001258F6" w:rsidP="001258F6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E2ED1">
              <w:rPr>
                <w:rFonts w:cstheme="minorHAnsi"/>
                <w:color w:val="202124"/>
                <w:highlight w:val="white"/>
              </w:rPr>
              <w:t>Korea experiences economic growth averaging 7.3% annually between 1960 and 2019. (Export growth of 16.0%, savings and investment rose to 34.7% and 29.8% of GDP)</w:t>
            </w:r>
          </w:p>
          <w:p w14:paraId="1409C6CD" w14:textId="77777777" w:rsidR="001258F6" w:rsidRPr="00BE2ED1" w:rsidRDefault="001258F6" w:rsidP="006F1C8B">
            <w:pPr>
              <w:widowControl w:val="0"/>
              <w:spacing w:line="240" w:lineRule="auto"/>
              <w:ind w:left="720"/>
              <w:rPr>
                <w:rFonts w:cstheme="minorHAnsi"/>
                <w:color w:val="202124"/>
                <w:highlight w:val="white"/>
              </w:rPr>
            </w:pPr>
            <w:r w:rsidRPr="00BE2ED1">
              <w:rPr>
                <w:rFonts w:cstheme="minorHAnsi"/>
                <w:color w:val="202124"/>
                <w:highlight w:val="white"/>
              </w:rPr>
              <w:t>Shifting the LRAS to the right</w:t>
            </w:r>
          </w:p>
        </w:tc>
      </w:tr>
    </w:tbl>
    <w:p w14:paraId="7EA6E9C2" w14:textId="77777777" w:rsidR="001258F6" w:rsidRPr="00BE2ED1" w:rsidRDefault="001258F6" w:rsidP="001258F6">
      <w:pPr>
        <w:rPr>
          <w:rFonts w:cstheme="minorHAnsi"/>
        </w:rPr>
      </w:pPr>
    </w:p>
    <w:p w14:paraId="6462C04B" w14:textId="77777777" w:rsidR="001258F6" w:rsidRPr="00BE2ED1" w:rsidRDefault="001258F6" w:rsidP="001258F6">
      <w:pPr>
        <w:rPr>
          <w:rFonts w:cstheme="minorHAnsi"/>
        </w:rPr>
      </w:pPr>
      <w:r w:rsidRPr="00BE2ED1">
        <w:rPr>
          <w:rFonts w:cstheme="minorHAnsi"/>
        </w:rPr>
        <w:t>Fiscal Policy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5565"/>
      </w:tblGrid>
      <w:tr w:rsidR="001258F6" w:rsidRPr="00BE2ED1" w14:paraId="6A6CA597" w14:textId="77777777" w:rsidTr="006F1C8B">
        <w:trPr>
          <w:trHeight w:val="983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F129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 xml:space="preserve">Expansionary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8BAA" w14:textId="77777777" w:rsidR="001258F6" w:rsidRPr="00BE2ED1" w:rsidRDefault="001258F6" w:rsidP="001258F6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 xml:space="preserve">2020 September, Thailand announces $2.2 billion of stimulus in handouts, job measures </w:t>
            </w:r>
          </w:p>
          <w:p w14:paraId="4FD99D19" w14:textId="77777777" w:rsidR="001258F6" w:rsidRPr="00BE2ED1" w:rsidRDefault="001258F6" w:rsidP="001258F6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>To support investment and consumption, Kenya reduced income tax rate for top earners from 30% to 25%</w:t>
            </w:r>
          </w:p>
        </w:tc>
      </w:tr>
      <w:tr w:rsidR="001258F6" w:rsidRPr="00BE2ED1" w14:paraId="6FEC1F24" w14:textId="77777777" w:rsidTr="006F1C8B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8611" w14:textId="77777777" w:rsidR="001258F6" w:rsidRPr="00BE2ED1" w:rsidRDefault="001258F6" w:rsidP="006F1C8B">
            <w:pPr>
              <w:widowControl w:val="0"/>
              <w:spacing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 xml:space="preserve">Contractionary 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2FD1" w14:textId="77777777" w:rsidR="001258F6" w:rsidRPr="00BE2ED1" w:rsidRDefault="001258F6" w:rsidP="001258F6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BE2ED1">
              <w:rPr>
                <w:rFonts w:cstheme="minorHAnsi"/>
              </w:rPr>
              <w:t xml:space="preserve">UK increased tax rate from 19% to 25% to support the country’s funded National Health Services </w:t>
            </w:r>
          </w:p>
        </w:tc>
      </w:tr>
    </w:tbl>
    <w:p w14:paraId="4A7B3545" w14:textId="77777777" w:rsidR="001258F6" w:rsidRPr="00BE2ED1" w:rsidRDefault="001258F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147"/>
        <w:gridCol w:w="4668"/>
      </w:tblGrid>
      <w:tr w:rsidR="00C728A0" w:rsidRPr="00BE2ED1" w14:paraId="0CEF5335" w14:textId="77777777" w:rsidTr="00C728A0">
        <w:tc>
          <w:tcPr>
            <w:tcW w:w="2201" w:type="dxa"/>
            <w:vMerge w:val="restart"/>
          </w:tcPr>
          <w:p w14:paraId="534A178F" w14:textId="70618567" w:rsidR="00C728A0" w:rsidRPr="00BE2ED1" w:rsidRDefault="00C728A0">
            <w:pPr>
              <w:rPr>
                <w:rFonts w:cstheme="minorHAnsi"/>
                <w:b/>
                <w:bCs/>
              </w:rPr>
            </w:pPr>
            <w:r w:rsidRPr="00BE2ED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Interventionist supply-side policy</w:t>
            </w:r>
          </w:p>
        </w:tc>
        <w:tc>
          <w:tcPr>
            <w:tcW w:w="2147" w:type="dxa"/>
          </w:tcPr>
          <w:p w14:paraId="5E09953B" w14:textId="32D9F278" w:rsidR="00C728A0" w:rsidRPr="00BE2ED1" w:rsidRDefault="00C728A0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Improved training and education</w:t>
            </w:r>
            <w:r w:rsidRPr="00BE2ED1">
              <w:rPr>
                <w:rFonts w:eastAsia="Times New Roman" w:cstheme="minorHAnsi"/>
                <w:lang w:eastAsia="en-GB"/>
              </w:rPr>
              <w:t xml:space="preserve"> </w:t>
            </w:r>
            <w:r w:rsidRPr="00BE2ED1">
              <w:rPr>
                <w:rFonts w:eastAsia="Times New Roman" w:cstheme="minorHAnsi"/>
                <w:lang w:eastAsia="en-GB"/>
              </w:rPr>
              <w:t>2007</w:t>
            </w:r>
          </w:p>
          <w:p w14:paraId="5C76B36C" w14:textId="36E72F2D" w:rsidR="00C728A0" w:rsidRPr="00BE2ED1" w:rsidRDefault="00C728A0">
            <w:pPr>
              <w:rPr>
                <w:rFonts w:cstheme="minorHAnsi"/>
              </w:rPr>
            </w:pPr>
          </w:p>
        </w:tc>
        <w:tc>
          <w:tcPr>
            <w:tcW w:w="4668" w:type="dxa"/>
          </w:tcPr>
          <w:p w14:paraId="339C1CDB" w14:textId="77777777" w:rsidR="00C728A0" w:rsidRPr="00BE2ED1" w:rsidRDefault="00C728A0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D.C (US) education reforms</w:t>
            </w:r>
          </w:p>
          <w:p w14:paraId="6B6830A0" w14:textId="77777777" w:rsidR="00C728A0" w:rsidRPr="00BE2ED1" w:rsidRDefault="00C728A0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1" w:tooltip="https://prospect.org/education/d.c.-became-darling-education-reform/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https://prospect.org/education/d.c.-became-darling-education-reform/</w:t>
              </w:r>
            </w:hyperlink>
          </w:p>
          <w:p w14:paraId="50CE1458" w14:textId="2A39185B" w:rsidR="00C728A0" w:rsidRPr="00BE2ED1" w:rsidRDefault="00C728A0">
            <w:pPr>
              <w:rPr>
                <w:rFonts w:cstheme="minorHAnsi"/>
              </w:rPr>
            </w:pPr>
          </w:p>
        </w:tc>
      </w:tr>
      <w:tr w:rsidR="00C728A0" w:rsidRPr="00BE2ED1" w14:paraId="5E9DB043" w14:textId="77777777" w:rsidTr="00C728A0">
        <w:tc>
          <w:tcPr>
            <w:tcW w:w="2201" w:type="dxa"/>
            <w:vMerge/>
          </w:tcPr>
          <w:p w14:paraId="5457C68F" w14:textId="77777777" w:rsidR="00C728A0" w:rsidRPr="00BE2ED1" w:rsidRDefault="00C728A0">
            <w:pPr>
              <w:rPr>
                <w:rFonts w:cstheme="minorHAnsi"/>
              </w:rPr>
            </w:pPr>
          </w:p>
        </w:tc>
        <w:tc>
          <w:tcPr>
            <w:tcW w:w="2147" w:type="dxa"/>
          </w:tcPr>
          <w:p w14:paraId="46693F87" w14:textId="11F553B0" w:rsidR="00C728A0" w:rsidRPr="00BE2ED1" w:rsidRDefault="00C728A0">
            <w:pPr>
              <w:rPr>
                <w:rFonts w:cstheme="minorHAnsi"/>
              </w:rPr>
            </w:pPr>
            <w:r w:rsidRPr="00BE2ED1">
              <w:rPr>
                <w:rFonts w:eastAsia="Times New Roman" w:cstheme="minorHAnsi"/>
                <w:lang w:eastAsia="en-GB"/>
              </w:rPr>
              <w:t xml:space="preserve">Improved </w:t>
            </w:r>
            <w:proofErr w:type="spellStart"/>
            <w:r w:rsidRPr="00BE2ED1">
              <w:rPr>
                <w:rFonts w:eastAsia="Times New Roman" w:cstheme="minorHAnsi"/>
                <w:lang w:eastAsia="en-GB"/>
              </w:rPr>
              <w:t>heath</w:t>
            </w:r>
            <w:proofErr w:type="spellEnd"/>
            <w:r w:rsidRPr="00BE2ED1">
              <w:rPr>
                <w:rFonts w:eastAsia="Times New Roman" w:cstheme="minorHAnsi"/>
                <w:lang w:eastAsia="en-GB"/>
              </w:rPr>
              <w:t xml:space="preserve"> care services (and access to them)</w:t>
            </w:r>
            <w:r w:rsidRPr="00BE2ED1">
              <w:rPr>
                <w:rFonts w:eastAsia="Times New Roman" w:cstheme="minorHAnsi"/>
                <w:lang w:eastAsia="en-GB"/>
              </w:rPr>
              <w:t xml:space="preserve"> </w:t>
            </w:r>
            <w:r w:rsidRPr="00BE2ED1">
              <w:rPr>
                <w:rFonts w:eastAsia="Times New Roman" w:cstheme="minorHAnsi"/>
                <w:lang w:eastAsia="en-GB"/>
              </w:rPr>
              <w:t>Up to 2021</w:t>
            </w:r>
          </w:p>
        </w:tc>
        <w:tc>
          <w:tcPr>
            <w:tcW w:w="4668" w:type="dxa"/>
          </w:tcPr>
          <w:p w14:paraId="01A04FC5" w14:textId="77777777" w:rsidR="00C728A0" w:rsidRPr="00BE2ED1" w:rsidRDefault="00C728A0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Norway's heavily subsidized and decentralised health care system</w:t>
            </w:r>
          </w:p>
          <w:p w14:paraId="12894C16" w14:textId="77777777" w:rsidR="00C728A0" w:rsidRPr="00BE2ED1" w:rsidRDefault="00C728A0" w:rsidP="00C728A0">
            <w:pPr>
              <w:rPr>
                <w:rFonts w:eastAsia="Times New Roman" w:cstheme="minorHAnsi"/>
                <w:lang w:eastAsia="en-GB"/>
              </w:rPr>
            </w:pPr>
            <w:hyperlink r:id="rId12" w:tooltip="https://www.lifeinnorway.net/healthcare/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https://www.lifeinnorway.net/healthcare/</w:t>
              </w:r>
            </w:hyperlink>
          </w:p>
          <w:p w14:paraId="51E67E54" w14:textId="3838AD3A" w:rsidR="00C728A0" w:rsidRPr="00BE2ED1" w:rsidRDefault="00C728A0" w:rsidP="00C728A0">
            <w:pPr>
              <w:rPr>
                <w:rFonts w:cstheme="minorHAnsi"/>
              </w:rPr>
            </w:pPr>
            <w:hyperlink r:id="rId13" w:tooltip="https://www.thelocal.no/20210921/norwegian-health-chief-covid-19-can-now-be-compared-to-the-flu/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https://www.thelocal.no/20210921/norwegian-health-chief-covid-19-can-now-be-compared-to-the-flu/</w:t>
              </w:r>
            </w:hyperlink>
          </w:p>
          <w:p w14:paraId="4EB7073E" w14:textId="7E20F867" w:rsidR="00C728A0" w:rsidRPr="00BE2ED1" w:rsidRDefault="00C728A0">
            <w:pPr>
              <w:rPr>
                <w:rFonts w:cstheme="minorHAnsi"/>
              </w:rPr>
            </w:pPr>
          </w:p>
        </w:tc>
      </w:tr>
      <w:tr w:rsidR="00C728A0" w:rsidRPr="00BE2ED1" w14:paraId="7248FD0C" w14:textId="77777777" w:rsidTr="00C728A0">
        <w:tc>
          <w:tcPr>
            <w:tcW w:w="2201" w:type="dxa"/>
            <w:vMerge/>
          </w:tcPr>
          <w:p w14:paraId="627FD2E7" w14:textId="77777777" w:rsidR="00C728A0" w:rsidRPr="00BE2ED1" w:rsidRDefault="00C728A0">
            <w:pPr>
              <w:rPr>
                <w:rFonts w:cstheme="minorHAnsi"/>
              </w:rPr>
            </w:pPr>
          </w:p>
        </w:tc>
        <w:tc>
          <w:tcPr>
            <w:tcW w:w="2147" w:type="dxa"/>
          </w:tcPr>
          <w:p w14:paraId="02B8C7DC" w14:textId="77777777" w:rsidR="00C728A0" w:rsidRPr="00BE2ED1" w:rsidRDefault="00C728A0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Investment in new technology (R&amp;D)</w:t>
            </w:r>
          </w:p>
          <w:p w14:paraId="5CCADC94" w14:textId="4F86FD40" w:rsidR="00C728A0" w:rsidRPr="00BE2ED1" w:rsidRDefault="00C728A0">
            <w:pPr>
              <w:rPr>
                <w:rFonts w:cstheme="minorHAnsi"/>
              </w:rPr>
            </w:pPr>
            <w:r w:rsidRPr="00BE2ED1">
              <w:rPr>
                <w:rFonts w:eastAsia="Times New Roman" w:cstheme="minorHAnsi"/>
                <w:lang w:eastAsia="en-GB"/>
              </w:rPr>
              <w:t>Oct 2021</w:t>
            </w:r>
          </w:p>
        </w:tc>
        <w:tc>
          <w:tcPr>
            <w:tcW w:w="4668" w:type="dxa"/>
          </w:tcPr>
          <w:p w14:paraId="44B0B054" w14:textId="77777777" w:rsidR="00C728A0" w:rsidRPr="00BE2ED1" w:rsidRDefault="00C728A0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Lagos introducing larger investment in technology</w:t>
            </w:r>
          </w:p>
          <w:p w14:paraId="70996352" w14:textId="77777777" w:rsidR="00C728A0" w:rsidRPr="00BE2ED1" w:rsidRDefault="00C728A0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4" w:tooltip="https://leadership.ng/our-huge-investment-in-technology-is-to-drive-smart-city-project-sanwo-olu/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https://leadership.ng/our-huge-investment-in-technology-is-to-drive-smart-city-project-sanwo-olu/</w:t>
              </w:r>
            </w:hyperlink>
          </w:p>
          <w:p w14:paraId="6D7D12D9" w14:textId="6AA254BA" w:rsidR="00C728A0" w:rsidRPr="00BE2ED1" w:rsidRDefault="00C728A0">
            <w:pPr>
              <w:rPr>
                <w:rFonts w:cstheme="minorHAnsi"/>
              </w:rPr>
            </w:pPr>
          </w:p>
        </w:tc>
      </w:tr>
      <w:tr w:rsidR="00C728A0" w:rsidRPr="00BE2ED1" w14:paraId="4B71E573" w14:textId="77777777" w:rsidTr="00C728A0">
        <w:tc>
          <w:tcPr>
            <w:tcW w:w="2201" w:type="dxa"/>
            <w:vMerge/>
          </w:tcPr>
          <w:p w14:paraId="7520BD0D" w14:textId="77777777" w:rsidR="00C728A0" w:rsidRPr="00BE2ED1" w:rsidRDefault="00C728A0">
            <w:pPr>
              <w:rPr>
                <w:rFonts w:cstheme="minorHAnsi"/>
              </w:rPr>
            </w:pPr>
          </w:p>
        </w:tc>
        <w:tc>
          <w:tcPr>
            <w:tcW w:w="2147" w:type="dxa"/>
          </w:tcPr>
          <w:p w14:paraId="425A3129" w14:textId="77777777" w:rsidR="00C728A0" w:rsidRPr="00BE2ED1" w:rsidRDefault="00C728A0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Investment in infrastructure</w:t>
            </w:r>
          </w:p>
          <w:p w14:paraId="04019A21" w14:textId="507A73BA" w:rsidR="00C728A0" w:rsidRPr="00BE2ED1" w:rsidRDefault="00C728A0">
            <w:pPr>
              <w:rPr>
                <w:rFonts w:cstheme="minorHAnsi"/>
              </w:rPr>
            </w:pPr>
            <w:r w:rsidRPr="00BE2ED1">
              <w:rPr>
                <w:rFonts w:eastAsia="Times New Roman" w:cstheme="minorHAnsi"/>
                <w:lang w:eastAsia="en-GB"/>
              </w:rPr>
              <w:t>Oct 2021</w:t>
            </w:r>
          </w:p>
        </w:tc>
        <w:tc>
          <w:tcPr>
            <w:tcW w:w="4668" w:type="dxa"/>
          </w:tcPr>
          <w:p w14:paraId="2AB01A19" w14:textId="77777777" w:rsidR="00C728A0" w:rsidRPr="00BE2ED1" w:rsidRDefault="00C728A0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South African readjusting infrastructure investment systems</w:t>
            </w:r>
          </w:p>
          <w:p w14:paraId="6F83D945" w14:textId="77777777" w:rsidR="00C728A0" w:rsidRPr="00BE2ED1" w:rsidRDefault="00C728A0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5" w:tooltip="https://www.iol.co.za/business-report/economy/government-plans-to-make-changes-in-infrastructure-development-legislation-to-boost-investments-f612e2a2-3176-4a84-99ef-96bfb3cb0fb7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https://www.iol.co.za/business-report/economy/government-plans-to-make-changes-in-infrastructure-development-legislation-to-boost-investments-f612e2a2-3176-4a84-99ef-96bfb3cb0fb7</w:t>
              </w:r>
            </w:hyperlink>
          </w:p>
          <w:p w14:paraId="4C82A7F3" w14:textId="6ACA574B" w:rsidR="00C728A0" w:rsidRPr="00BE2ED1" w:rsidRDefault="00C728A0">
            <w:pPr>
              <w:rPr>
                <w:rFonts w:cstheme="minorHAnsi"/>
              </w:rPr>
            </w:pPr>
          </w:p>
        </w:tc>
      </w:tr>
      <w:tr w:rsidR="00C728A0" w:rsidRPr="00BE2ED1" w14:paraId="7B411196" w14:textId="77777777" w:rsidTr="00C728A0">
        <w:tc>
          <w:tcPr>
            <w:tcW w:w="2201" w:type="dxa"/>
            <w:vMerge/>
          </w:tcPr>
          <w:p w14:paraId="6B7C5440" w14:textId="77777777" w:rsidR="00C728A0" w:rsidRPr="00BE2ED1" w:rsidRDefault="00C728A0">
            <w:pPr>
              <w:rPr>
                <w:rFonts w:cstheme="minorHAnsi"/>
              </w:rPr>
            </w:pPr>
          </w:p>
        </w:tc>
        <w:tc>
          <w:tcPr>
            <w:tcW w:w="2147" w:type="dxa"/>
          </w:tcPr>
          <w:p w14:paraId="0776A9C2" w14:textId="77777777" w:rsidR="00C728A0" w:rsidRPr="00BE2ED1" w:rsidRDefault="00C728A0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Industrial policies: small/medium-sized businesses</w:t>
            </w:r>
          </w:p>
          <w:p w14:paraId="1BB91589" w14:textId="6E5B3CB5" w:rsidR="00C728A0" w:rsidRPr="00BE2ED1" w:rsidRDefault="00C728A0">
            <w:pPr>
              <w:rPr>
                <w:rFonts w:cstheme="minorHAnsi"/>
              </w:rPr>
            </w:pPr>
            <w:r w:rsidRPr="00BE2ED1">
              <w:rPr>
                <w:rFonts w:eastAsia="Times New Roman" w:cstheme="minorHAnsi"/>
                <w:lang w:eastAsia="en-GB"/>
              </w:rPr>
              <w:t>June 2021</w:t>
            </w:r>
          </w:p>
        </w:tc>
        <w:tc>
          <w:tcPr>
            <w:tcW w:w="4668" w:type="dxa"/>
          </w:tcPr>
          <w:p w14:paraId="6811FA83" w14:textId="77777777" w:rsidR="00C728A0" w:rsidRPr="00BE2ED1" w:rsidRDefault="00C728A0">
            <w:pPr>
              <w:rPr>
                <w:rFonts w:eastAsia="Times New Roman" w:cstheme="minorHAnsi"/>
                <w:lang w:val="en-GB"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Australia's </w:t>
            </w:r>
            <w:r w:rsidRPr="00BE2ED1">
              <w:rPr>
                <w:rFonts w:eastAsia="Times New Roman" w:cstheme="minorHAnsi"/>
                <w:lang w:val="en-GB" w:eastAsia="en-GB"/>
              </w:rPr>
              <w:t>Payment Times Procurement Connected Policy</w:t>
            </w:r>
          </w:p>
          <w:p w14:paraId="7438A6A9" w14:textId="77777777" w:rsidR="00C728A0" w:rsidRPr="00BE2ED1" w:rsidRDefault="00C728A0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6" w:tooltip="https://treasury.gov.au/publication/p2021-183909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https://treasury.gov.au/publication/p2021-183909</w:t>
              </w:r>
            </w:hyperlink>
          </w:p>
          <w:p w14:paraId="267BED08" w14:textId="4A6DE009" w:rsidR="00C728A0" w:rsidRPr="00BE2ED1" w:rsidRDefault="00C728A0">
            <w:pPr>
              <w:rPr>
                <w:rFonts w:cstheme="minorHAnsi"/>
              </w:rPr>
            </w:pPr>
          </w:p>
        </w:tc>
      </w:tr>
    </w:tbl>
    <w:p w14:paraId="21009ECA" w14:textId="1B0B6938" w:rsidR="009C10CD" w:rsidRPr="00BE2ED1" w:rsidRDefault="009C10C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3101"/>
        <w:gridCol w:w="4101"/>
      </w:tblGrid>
      <w:tr w:rsidR="00424D8F" w:rsidRPr="00BE2ED1" w14:paraId="7E970CBF" w14:textId="77777777" w:rsidTr="00424D8F">
        <w:tc>
          <w:tcPr>
            <w:tcW w:w="2316" w:type="dxa"/>
            <w:vMerge w:val="restart"/>
          </w:tcPr>
          <w:p w14:paraId="3CA4B485" w14:textId="77777777" w:rsidR="00424D8F" w:rsidRPr="00BE2ED1" w:rsidRDefault="00424D8F" w:rsidP="00424D8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E2ED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Monetary Policy</w:t>
            </w:r>
          </w:p>
          <w:p w14:paraId="34128C5B" w14:textId="77777777" w:rsidR="00424D8F" w:rsidRPr="00BE2ED1" w:rsidRDefault="00424D8F">
            <w:pPr>
              <w:rPr>
                <w:rFonts w:cstheme="minorHAnsi"/>
              </w:rPr>
            </w:pPr>
          </w:p>
        </w:tc>
        <w:tc>
          <w:tcPr>
            <w:tcW w:w="4200" w:type="dxa"/>
          </w:tcPr>
          <w:p w14:paraId="1108F011" w14:textId="40267E56" w:rsidR="00424D8F" w:rsidRPr="00BE2ED1" w:rsidRDefault="00424D8F" w:rsidP="00424D8F">
            <w:pPr>
              <w:textAlignment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E2ED1">
              <w:rPr>
                <w:rFonts w:eastAsia="Times New Roman" w:cstheme="minorHAnsi"/>
                <w:color w:val="000000"/>
                <w:lang w:eastAsia="en-GB"/>
              </w:rPr>
              <w:t>South Korea raises interest rates due to high inflation which was causing high prices and higher household debt</w:t>
            </w:r>
          </w:p>
          <w:p w14:paraId="1FC973F3" w14:textId="77777777" w:rsidR="00424D8F" w:rsidRPr="00BE2ED1" w:rsidRDefault="00424D8F" w:rsidP="00424D8F">
            <w:pPr>
              <w:textAlignment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EEE89BB" w14:textId="77777777" w:rsidR="00424D8F" w:rsidRPr="00BE2ED1" w:rsidRDefault="00424D8F" w:rsidP="00424D8F">
            <w:pPr>
              <w:textAlignment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E2ED1">
              <w:rPr>
                <w:rFonts w:eastAsia="Times New Roman" w:cstheme="minorHAnsi"/>
                <w:color w:val="000000"/>
                <w:lang w:eastAsia="en-GB"/>
              </w:rPr>
              <w:t>House prices rose by 14.3% year-on-year in July and household debt also shot up, by 10% year-on-year in the second quarter</w:t>
            </w:r>
          </w:p>
          <w:p w14:paraId="469F48F0" w14:textId="77777777" w:rsidR="00424D8F" w:rsidRPr="00BE2ED1" w:rsidRDefault="00424D8F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42EE6B73" w14:textId="77777777" w:rsidR="00424D8F" w:rsidRPr="00BE2ED1" w:rsidRDefault="00424D8F" w:rsidP="00424D8F">
            <w:pPr>
              <w:rPr>
                <w:rFonts w:eastAsia="Times New Roman" w:cstheme="minorHAnsi"/>
                <w:color w:val="000000"/>
                <w:lang w:eastAsia="en-GB"/>
              </w:rPr>
            </w:pPr>
            <w:hyperlink r:id="rId17" w:tooltip="https://www.cnbc.com/2021/08/26/south-korea-hikes-interest-rates-the-first-developed-economy-to-do-so-in-pandemic-era.html" w:history="1">
              <w:r w:rsidRPr="00BE2ED1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https://www.cnbc.com/2021/08/26/south-korea-hikes-interest-rates-the-first-developed-economy-to-do-so-in-pandemic-era.html</w:t>
              </w:r>
            </w:hyperlink>
          </w:p>
          <w:p w14:paraId="67BDFCC5" w14:textId="77777777" w:rsidR="00424D8F" w:rsidRPr="00BE2ED1" w:rsidRDefault="00424D8F">
            <w:pPr>
              <w:rPr>
                <w:rFonts w:cstheme="minorHAnsi"/>
              </w:rPr>
            </w:pPr>
          </w:p>
        </w:tc>
      </w:tr>
      <w:tr w:rsidR="00424D8F" w:rsidRPr="00BE2ED1" w14:paraId="071E1FB4" w14:textId="77777777" w:rsidTr="00424D8F">
        <w:tc>
          <w:tcPr>
            <w:tcW w:w="2316" w:type="dxa"/>
            <w:vMerge/>
          </w:tcPr>
          <w:p w14:paraId="03D0ECE8" w14:textId="77777777" w:rsidR="00424D8F" w:rsidRPr="00BE2ED1" w:rsidRDefault="00424D8F">
            <w:pPr>
              <w:rPr>
                <w:rFonts w:cstheme="minorHAnsi"/>
              </w:rPr>
            </w:pPr>
          </w:p>
        </w:tc>
        <w:tc>
          <w:tcPr>
            <w:tcW w:w="4200" w:type="dxa"/>
          </w:tcPr>
          <w:p w14:paraId="388B4619" w14:textId="2C8F75E6" w:rsidR="00424D8F" w:rsidRPr="00BE2ED1" w:rsidRDefault="00424D8F" w:rsidP="00424D8F">
            <w:pPr>
              <w:textAlignment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E2ED1">
              <w:rPr>
                <w:rFonts w:eastAsia="Times New Roman" w:cstheme="minorHAnsi"/>
                <w:color w:val="000000"/>
                <w:lang w:eastAsia="en-GB"/>
              </w:rPr>
              <w:t>Australia decreases interest rates to a record low of 0.10 percent in order to counter the recession caused by the pandemic</w:t>
            </w:r>
          </w:p>
          <w:p w14:paraId="16AAC236" w14:textId="77777777" w:rsidR="00424D8F" w:rsidRPr="00BE2ED1" w:rsidRDefault="00424D8F" w:rsidP="00424D8F">
            <w:pPr>
              <w:textAlignment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520CF6A9" w14:textId="2FE95A4D" w:rsidR="00424D8F" w:rsidRPr="00BE2ED1" w:rsidRDefault="00424D8F" w:rsidP="00424D8F">
            <w:pPr>
              <w:textAlignment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E2ED1">
              <w:rPr>
                <w:rFonts w:eastAsia="Times New Roman" w:cstheme="minorHAnsi"/>
                <w:color w:val="000000"/>
                <w:lang w:eastAsia="en-GB"/>
              </w:rPr>
              <w:t>To combat high unemployment and to increase AD</w:t>
            </w:r>
          </w:p>
          <w:p w14:paraId="2639F6CB" w14:textId="77777777" w:rsidR="00424D8F" w:rsidRPr="00BE2ED1" w:rsidRDefault="00424D8F" w:rsidP="00424D8F">
            <w:pPr>
              <w:ind w:left="360"/>
              <w:textAlignment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565F9978" w14:textId="77777777" w:rsidR="00424D8F" w:rsidRPr="00BE2ED1" w:rsidRDefault="00424D8F" w:rsidP="00424D8F">
            <w:pPr>
              <w:textAlignment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E2ED1">
              <w:rPr>
                <w:rFonts w:eastAsia="Times New Roman" w:cstheme="minorHAnsi"/>
                <w:color w:val="000000"/>
                <w:lang w:eastAsia="en-GB"/>
              </w:rPr>
              <w:t>Resulted in increased borrowing and investment</w:t>
            </w:r>
          </w:p>
          <w:p w14:paraId="011D3AF4" w14:textId="77777777" w:rsidR="00424D8F" w:rsidRPr="00BE2ED1" w:rsidRDefault="00424D8F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3BDAFE74" w14:textId="77777777" w:rsidR="00424D8F" w:rsidRPr="00BE2ED1" w:rsidRDefault="00424D8F" w:rsidP="00424D8F">
            <w:pPr>
              <w:rPr>
                <w:rFonts w:eastAsia="Times New Roman" w:cstheme="minorHAnsi"/>
                <w:color w:val="000000"/>
                <w:lang w:eastAsia="en-GB"/>
              </w:rPr>
            </w:pPr>
            <w:hyperlink r:id="rId18" w:tooltip="https://www.9news.com.au/national/rba-interest-rate-decision-may-2021-soaring-house-prices-and-low-wage-growth/15b29c34-1516-4c41-b894-78b1449ff97e" w:history="1">
              <w:r w:rsidRPr="00BE2ED1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https://www.9news.com.au/national/rba-interest-rate-decision-may-2021-soaring-house-prices-and-low-wage-growth/15b29c34-1516-4c41-b894-78b1449ff97e</w:t>
              </w:r>
            </w:hyperlink>
          </w:p>
          <w:p w14:paraId="596B5EBB" w14:textId="77777777" w:rsidR="00424D8F" w:rsidRPr="00BE2ED1" w:rsidRDefault="00424D8F">
            <w:pPr>
              <w:rPr>
                <w:rFonts w:cstheme="minorHAnsi"/>
              </w:rPr>
            </w:pPr>
          </w:p>
        </w:tc>
      </w:tr>
    </w:tbl>
    <w:p w14:paraId="1A80DE54" w14:textId="5CDE06B1" w:rsidR="008C142E" w:rsidRPr="00BE2ED1" w:rsidRDefault="008C142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1660"/>
        <w:gridCol w:w="6375"/>
      </w:tblGrid>
      <w:tr w:rsidR="008C142E" w:rsidRPr="00BE2ED1" w14:paraId="688A182E" w14:textId="77777777" w:rsidTr="00424D8F">
        <w:tc>
          <w:tcPr>
            <w:tcW w:w="981" w:type="dxa"/>
            <w:vMerge w:val="restart"/>
          </w:tcPr>
          <w:p w14:paraId="4A807E90" w14:textId="77777777" w:rsidR="008C142E" w:rsidRPr="00BE2ED1" w:rsidRDefault="008C142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E2ED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Market-based supply-side policy</w:t>
            </w:r>
          </w:p>
          <w:p w14:paraId="1E4BB686" w14:textId="5A820ED9" w:rsidR="008C142E" w:rsidRPr="00BE2ED1" w:rsidRDefault="008C142E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14:paraId="6D92271A" w14:textId="77777777" w:rsidR="008C142E" w:rsidRPr="00BE2ED1" w:rsidRDefault="008C142E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Privatisation</w:t>
            </w:r>
          </w:p>
          <w:p w14:paraId="59A5F969" w14:textId="066BCBF4" w:rsidR="008C142E" w:rsidRPr="00BE2ED1" w:rsidRDefault="008C142E">
            <w:pPr>
              <w:rPr>
                <w:rFonts w:cstheme="minorHAnsi"/>
              </w:rPr>
            </w:pPr>
            <w:r w:rsidRPr="00BE2ED1">
              <w:rPr>
                <w:rFonts w:eastAsia="Times New Roman" w:cstheme="minorHAnsi"/>
                <w:lang w:eastAsia="en-GB"/>
              </w:rPr>
              <w:t>Oct 2021</w:t>
            </w:r>
          </w:p>
        </w:tc>
        <w:tc>
          <w:tcPr>
            <w:tcW w:w="6375" w:type="dxa"/>
          </w:tcPr>
          <w:p w14:paraId="615579EB" w14:textId="77777777" w:rsidR="008C142E" w:rsidRPr="00BE2ED1" w:rsidRDefault="008C142E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India privatising national airline</w:t>
            </w:r>
          </w:p>
          <w:p w14:paraId="4F5E1CF7" w14:textId="27331439" w:rsidR="008C142E" w:rsidRPr="00BE2ED1" w:rsidRDefault="008C142E">
            <w:pPr>
              <w:rPr>
                <w:rFonts w:cstheme="minorHAnsi"/>
              </w:rPr>
            </w:pPr>
            <w:hyperlink r:id="rId19" w:tooltip="https://economictimes.indiatimes.com/news/economy/policy/air-india-privatisation-reflects-govt-resolve-to-bite-reform-bullet-cii/articleshow/86939652.cms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https://economictimes.indiatimes.com/news/economy/policy/air-india-privatisation-reflects-govt-resolve-to-bite-reform-bullet-cii/articleshow/86939652.cms</w:t>
              </w:r>
            </w:hyperlink>
          </w:p>
        </w:tc>
      </w:tr>
      <w:tr w:rsidR="008C142E" w:rsidRPr="00BE2ED1" w14:paraId="3AA3E9D9" w14:textId="77777777" w:rsidTr="00424D8F">
        <w:tc>
          <w:tcPr>
            <w:tcW w:w="981" w:type="dxa"/>
            <w:vMerge/>
          </w:tcPr>
          <w:p w14:paraId="14CE7E7F" w14:textId="77777777" w:rsidR="008C142E" w:rsidRPr="00BE2ED1" w:rsidRDefault="008C142E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14:paraId="0FB8E365" w14:textId="77777777" w:rsidR="008C142E" w:rsidRPr="00BE2ED1" w:rsidRDefault="008C142E" w:rsidP="00C728A0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Deregulation</w:t>
            </w:r>
          </w:p>
          <w:p w14:paraId="42F85B41" w14:textId="77777777" w:rsidR="008C142E" w:rsidRPr="00BE2ED1" w:rsidRDefault="008C142E" w:rsidP="008C142E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Oct 2021</w:t>
            </w:r>
          </w:p>
          <w:p w14:paraId="50D7832F" w14:textId="714F7142" w:rsidR="008C142E" w:rsidRPr="00BE2ED1" w:rsidRDefault="008C142E" w:rsidP="00C728A0">
            <w:pPr>
              <w:rPr>
                <w:rFonts w:cstheme="minorHAnsi"/>
              </w:rPr>
            </w:pPr>
          </w:p>
        </w:tc>
        <w:tc>
          <w:tcPr>
            <w:tcW w:w="6375" w:type="dxa"/>
          </w:tcPr>
          <w:p w14:paraId="3D6054E2" w14:textId="77777777" w:rsidR="008C142E" w:rsidRPr="00BE2ED1" w:rsidRDefault="008C142E" w:rsidP="00C728A0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US deregulates energy sector</w:t>
            </w:r>
          </w:p>
          <w:p w14:paraId="5643B2FB" w14:textId="77777777" w:rsidR="008C142E" w:rsidRPr="00BE2ED1" w:rsidRDefault="008C142E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20" w:history="1">
              <w:r w:rsidRPr="00BE2ED1">
                <w:rPr>
                  <w:rStyle w:val="Hyperlink"/>
                  <w:rFonts w:eastAsia="Times New Roman" w:cstheme="minorHAnsi"/>
                  <w:lang w:eastAsia="en-GB"/>
                </w:rPr>
                <w:t>https://www.wsj.com/articles/deregulation-energy-independence-fracking-hydraulic-fracturing-11633462282</w:t>
              </w:r>
            </w:hyperlink>
          </w:p>
          <w:p w14:paraId="76D092FD" w14:textId="622C3D97" w:rsidR="008C142E" w:rsidRPr="00BE2ED1" w:rsidRDefault="008C142E">
            <w:pPr>
              <w:rPr>
                <w:rFonts w:cstheme="minorHAnsi"/>
              </w:rPr>
            </w:pPr>
          </w:p>
        </w:tc>
      </w:tr>
      <w:tr w:rsidR="008C142E" w:rsidRPr="00BE2ED1" w14:paraId="3C0BA43A" w14:textId="77777777" w:rsidTr="00424D8F">
        <w:tc>
          <w:tcPr>
            <w:tcW w:w="981" w:type="dxa"/>
            <w:vMerge/>
          </w:tcPr>
          <w:p w14:paraId="3D4F0013" w14:textId="77777777" w:rsidR="008C142E" w:rsidRPr="00BE2ED1" w:rsidRDefault="008C142E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14:paraId="7AF3D377" w14:textId="77777777" w:rsidR="008C142E" w:rsidRPr="00BE2ED1" w:rsidRDefault="008C142E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Outsourcing (contracting to private sector)</w:t>
            </w:r>
          </w:p>
          <w:p w14:paraId="1AC2B55E" w14:textId="0BD8103E" w:rsidR="008C142E" w:rsidRPr="00BE2ED1" w:rsidRDefault="008C142E">
            <w:pPr>
              <w:rPr>
                <w:rFonts w:cstheme="minorHAnsi"/>
              </w:rPr>
            </w:pPr>
          </w:p>
        </w:tc>
        <w:tc>
          <w:tcPr>
            <w:tcW w:w="6375" w:type="dxa"/>
          </w:tcPr>
          <w:p w14:paraId="2BCC3B90" w14:textId="77777777" w:rsidR="008C142E" w:rsidRPr="00BE2ED1" w:rsidRDefault="008C142E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Bangladesh outsourcing IT development</w:t>
            </w:r>
          </w:p>
          <w:p w14:paraId="3AB4902B" w14:textId="5515C52C" w:rsidR="008C142E" w:rsidRPr="00BE2ED1" w:rsidRDefault="008C142E">
            <w:pPr>
              <w:rPr>
                <w:rFonts w:cstheme="minorHAnsi"/>
              </w:rPr>
            </w:pPr>
            <w:hyperlink r:id="rId21" w:tooltip="https://www.dhakatribune.com/business/2021/10/07/bangladesh-could-be-the-next-bangalore-with-it-outsourcing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https://www.dhakatribune.com/business/2021/10/07/bangladesh-could-be-the-next-bangalore-with-it-outsourcing</w:t>
              </w:r>
            </w:hyperlink>
          </w:p>
        </w:tc>
      </w:tr>
      <w:tr w:rsidR="008C142E" w:rsidRPr="00BE2ED1" w14:paraId="129D2236" w14:textId="77777777" w:rsidTr="00424D8F">
        <w:tc>
          <w:tcPr>
            <w:tcW w:w="981" w:type="dxa"/>
            <w:vMerge/>
          </w:tcPr>
          <w:p w14:paraId="25A82069" w14:textId="77777777" w:rsidR="008C142E" w:rsidRPr="00BE2ED1" w:rsidRDefault="008C142E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14:paraId="3DF01FBB" w14:textId="1021C47B" w:rsidR="008C142E" w:rsidRPr="00BE2ED1" w:rsidRDefault="008C142E">
            <w:pPr>
              <w:rPr>
                <w:rFonts w:cstheme="minorHAnsi"/>
              </w:rPr>
            </w:pPr>
            <w:r w:rsidRPr="00BE2ED1">
              <w:rPr>
                <w:rFonts w:eastAsia="Times New Roman" w:cstheme="minorHAnsi"/>
                <w:lang w:eastAsia="en-GB"/>
              </w:rPr>
              <w:t>Restricting monopoly policy</w:t>
            </w:r>
          </w:p>
        </w:tc>
        <w:tc>
          <w:tcPr>
            <w:tcW w:w="6375" w:type="dxa"/>
          </w:tcPr>
          <w:p w14:paraId="40C1719B" w14:textId="77777777" w:rsidR="008C142E" w:rsidRPr="00BE2ED1" w:rsidRDefault="008C142E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 xml:space="preserve">China </w:t>
            </w:r>
            <w:proofErr w:type="gramStart"/>
            <w:r w:rsidRPr="00BE2ED1">
              <w:rPr>
                <w:rFonts w:eastAsia="Times New Roman" w:cstheme="minorHAnsi"/>
                <w:lang w:eastAsia="en-GB"/>
              </w:rPr>
              <w:t>restrict</w:t>
            </w:r>
            <w:proofErr w:type="gramEnd"/>
            <w:r w:rsidRPr="00BE2ED1">
              <w:rPr>
                <w:rFonts w:eastAsia="Times New Roman" w:cstheme="minorHAnsi"/>
                <w:lang w:eastAsia="en-GB"/>
              </w:rPr>
              <w:t xml:space="preserve"> internet monopoly firms</w:t>
            </w:r>
          </w:p>
          <w:p w14:paraId="5A44011E" w14:textId="77777777" w:rsidR="008C142E" w:rsidRPr="00BE2ED1" w:rsidRDefault="008C142E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22" w:tooltip="https://economictimes.indiatimes.com/tech/tech-bytes/no-let-up-in-chinas-aim-to-curb-tech-monopolies-says-pboc-governor/articleshow/86909334.cms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https://economictimes.indiatimes.com/tech/tech-bytes/no-let-up-in-chinas-aim-to-curb-tech-monopolies-says-pboc-governor/articleshow/86909334.cms</w:t>
              </w:r>
            </w:hyperlink>
          </w:p>
          <w:p w14:paraId="3FFE1CA1" w14:textId="3E804781" w:rsidR="008C142E" w:rsidRPr="00BE2ED1" w:rsidRDefault="008C142E">
            <w:pPr>
              <w:rPr>
                <w:rFonts w:cstheme="minorHAnsi"/>
              </w:rPr>
            </w:pPr>
          </w:p>
        </w:tc>
      </w:tr>
      <w:tr w:rsidR="008C142E" w:rsidRPr="00BE2ED1" w14:paraId="74FE1FFA" w14:textId="77777777" w:rsidTr="00424D8F">
        <w:tc>
          <w:tcPr>
            <w:tcW w:w="981" w:type="dxa"/>
            <w:vMerge/>
          </w:tcPr>
          <w:p w14:paraId="31361D4D" w14:textId="77777777" w:rsidR="008C142E" w:rsidRPr="00BE2ED1" w:rsidRDefault="008C142E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14:paraId="458E3062" w14:textId="77777777" w:rsidR="008C142E" w:rsidRPr="00BE2ED1" w:rsidRDefault="008C142E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India labour market reforms</w:t>
            </w:r>
          </w:p>
          <w:p w14:paraId="040EE8D8" w14:textId="2BFDE02F" w:rsidR="008C142E" w:rsidRPr="00BE2ED1" w:rsidRDefault="008C142E">
            <w:pPr>
              <w:rPr>
                <w:rFonts w:cstheme="minorHAnsi"/>
              </w:rPr>
            </w:pPr>
          </w:p>
        </w:tc>
        <w:tc>
          <w:tcPr>
            <w:tcW w:w="6375" w:type="dxa"/>
          </w:tcPr>
          <w:p w14:paraId="4B076017" w14:textId="14FB8CB1" w:rsidR="008C142E" w:rsidRPr="00BE2ED1" w:rsidRDefault="008C142E">
            <w:pPr>
              <w:rPr>
                <w:rFonts w:cstheme="minorHAnsi"/>
              </w:rPr>
            </w:pPr>
            <w:hyperlink r:id="rId23" w:tooltip="https://www.theleaflet.in/politics-of-welfare-or-lack-thereof-of-labour-part-ii/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https://www.theleaflet.in/politics-of-welfare-or-lack-thereof-of-labour-part-ii/</w:t>
              </w:r>
            </w:hyperlink>
          </w:p>
        </w:tc>
      </w:tr>
      <w:tr w:rsidR="008C142E" w:rsidRPr="00BE2ED1" w14:paraId="6CBBCA43" w14:textId="77777777" w:rsidTr="00424D8F">
        <w:tc>
          <w:tcPr>
            <w:tcW w:w="981" w:type="dxa"/>
            <w:vMerge/>
          </w:tcPr>
          <w:p w14:paraId="541DC0EA" w14:textId="77777777" w:rsidR="008C142E" w:rsidRPr="00BE2ED1" w:rsidRDefault="008C142E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14:paraId="147EBE08" w14:textId="1456D70A" w:rsidR="008C142E" w:rsidRPr="00BE2ED1" w:rsidRDefault="008C142E">
            <w:pPr>
              <w:rPr>
                <w:rFonts w:cstheme="minorHAnsi"/>
              </w:rPr>
            </w:pPr>
            <w:r w:rsidRPr="00BE2ED1">
              <w:rPr>
                <w:rFonts w:eastAsia="Times New Roman" w:cstheme="minorHAnsi"/>
                <w:lang w:eastAsia="en-GB"/>
              </w:rPr>
              <w:t>Unemployment</w:t>
            </w:r>
            <w:r w:rsidR="00BE2ED1">
              <w:rPr>
                <w:rFonts w:eastAsia="Times New Roman" w:cstheme="minorHAnsi"/>
                <w:lang w:eastAsia="en-GB"/>
              </w:rPr>
              <w:t xml:space="preserve"> </w:t>
            </w:r>
            <w:r w:rsidRPr="00BE2ED1">
              <w:rPr>
                <w:rFonts w:eastAsia="Times New Roman" w:cstheme="minorHAnsi"/>
                <w:lang w:eastAsia="en-GB"/>
              </w:rPr>
              <w:t>benefits</w:t>
            </w:r>
          </w:p>
        </w:tc>
        <w:tc>
          <w:tcPr>
            <w:tcW w:w="6375" w:type="dxa"/>
          </w:tcPr>
          <w:p w14:paraId="085A0F33" w14:textId="77777777" w:rsidR="008C142E" w:rsidRPr="00BE2ED1" w:rsidRDefault="008C142E">
            <w:pPr>
              <w:rPr>
                <w:rFonts w:eastAsia="Times New Roman" w:cstheme="minorHAnsi"/>
                <w:lang w:eastAsia="en-GB"/>
              </w:rPr>
            </w:pPr>
            <w:r w:rsidRPr="00BE2ED1">
              <w:rPr>
                <w:rFonts w:eastAsia="Times New Roman" w:cstheme="minorHAnsi"/>
                <w:lang w:eastAsia="en-GB"/>
              </w:rPr>
              <w:t>Uruguay Covid-19 recovery</w:t>
            </w:r>
          </w:p>
          <w:p w14:paraId="1A5F337E" w14:textId="77777777" w:rsidR="008C142E" w:rsidRPr="00BE2ED1" w:rsidRDefault="008C142E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24" w:tooltip="https://en.mercopress.com/2021/10/12/uruguay-imf-recommends-addressing-skill-mismatch-between-the-labour-force-and-new-jobs" w:history="1">
              <w:r w:rsidRPr="00BE2ED1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https://en.mercopress.com/2021/10/12/uruguay-imf-recommends-addressing-skill-mismatch-between-the-labour-force-and-new-jobs</w:t>
              </w:r>
            </w:hyperlink>
          </w:p>
          <w:p w14:paraId="5D4CF765" w14:textId="32E51B90" w:rsidR="008C142E" w:rsidRPr="00BE2ED1" w:rsidRDefault="008C142E">
            <w:pPr>
              <w:rPr>
                <w:rFonts w:cstheme="minorHAnsi"/>
              </w:rPr>
            </w:pPr>
          </w:p>
        </w:tc>
      </w:tr>
    </w:tbl>
    <w:p w14:paraId="0AE8AB97" w14:textId="77777777" w:rsidR="008C142E" w:rsidRPr="00BE2ED1" w:rsidRDefault="008C142E">
      <w:pPr>
        <w:rPr>
          <w:rFonts w:cstheme="minorHAnsi"/>
        </w:rPr>
      </w:pPr>
    </w:p>
    <w:sectPr w:rsidR="008C142E" w:rsidRPr="00BE2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7B1"/>
    <w:multiLevelType w:val="multilevel"/>
    <w:tmpl w:val="1550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F6907"/>
    <w:multiLevelType w:val="multilevel"/>
    <w:tmpl w:val="E864E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33741C"/>
    <w:multiLevelType w:val="multilevel"/>
    <w:tmpl w:val="554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0410F"/>
    <w:multiLevelType w:val="multilevel"/>
    <w:tmpl w:val="4D704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2E4C7E"/>
    <w:multiLevelType w:val="multilevel"/>
    <w:tmpl w:val="650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05CCF"/>
    <w:multiLevelType w:val="multilevel"/>
    <w:tmpl w:val="66F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F42F4"/>
    <w:multiLevelType w:val="multilevel"/>
    <w:tmpl w:val="A9F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13F84"/>
    <w:multiLevelType w:val="multilevel"/>
    <w:tmpl w:val="B81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D296C"/>
    <w:multiLevelType w:val="multilevel"/>
    <w:tmpl w:val="816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76898"/>
    <w:multiLevelType w:val="multilevel"/>
    <w:tmpl w:val="9A0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92E6D"/>
    <w:multiLevelType w:val="multilevel"/>
    <w:tmpl w:val="7E16B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D179D0"/>
    <w:multiLevelType w:val="multilevel"/>
    <w:tmpl w:val="F5A2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C6"/>
    <w:rsid w:val="001258F6"/>
    <w:rsid w:val="00424D8F"/>
    <w:rsid w:val="008C142E"/>
    <w:rsid w:val="009C10CD"/>
    <w:rsid w:val="00BE2ED1"/>
    <w:rsid w:val="00C728A0"/>
    <w:rsid w:val="00DF14C4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1E57"/>
  <w15:chartTrackingRefBased/>
  <w15:docId w15:val="{471C1EA4-E578-4B8E-BB27-EBB10296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cgtv.com/news/local/missouri-jobs-increased-unemployment-rate-decreased-in-august" TargetMode="External"/><Relationship Id="rId13" Type="http://schemas.openxmlformats.org/officeDocument/2006/relationships/hyperlink" Target="https://www.thelocal.no/20210921/norwegian-health-chief-covid-19-can-now-be-compared-to-the-flu/" TargetMode="External"/><Relationship Id="rId18" Type="http://schemas.openxmlformats.org/officeDocument/2006/relationships/hyperlink" Target="https://www.9news.com.au/national/rba-interest-rate-decision-may-2021-soaring-house-prices-and-low-wage-growth/15b29c34-1516-4c41-b894-78b1449ff97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hakatribune.com/business/2021/10/07/bangladesh-could-be-the-next-bangalore-with-it-outsourcing" TargetMode="External"/><Relationship Id="rId7" Type="http://schemas.openxmlformats.org/officeDocument/2006/relationships/hyperlink" Target="https://theconversation.com/south-africas-employment-tax-incentive-is-not-a-success-story-168124" TargetMode="External"/><Relationship Id="rId12" Type="http://schemas.openxmlformats.org/officeDocument/2006/relationships/hyperlink" Target="https://www.lifeinnorway.net/healthcare/" TargetMode="External"/><Relationship Id="rId17" Type="http://schemas.openxmlformats.org/officeDocument/2006/relationships/hyperlink" Target="https://www.cnbc.com/2021/08/26/south-korea-hikes-interest-rates-the-first-developed-economy-to-do-so-in-pandemic-er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easury.gov.au/publication/p2021-183909" TargetMode="External"/><Relationship Id="rId20" Type="http://schemas.openxmlformats.org/officeDocument/2006/relationships/hyperlink" Target="https://www.wsj.com/articles/deregulation-energy-independence-fracking-hydraulic-fracturing-116334622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conversation.com/south-africas-labour-market-trends-from-2009-to-2019-a-lost-decade-167645" TargetMode="External"/><Relationship Id="rId11" Type="http://schemas.openxmlformats.org/officeDocument/2006/relationships/hyperlink" Target="https://prospect.org/education/d.c.-became-darling-education-reform/" TargetMode="External"/><Relationship Id="rId24" Type="http://schemas.openxmlformats.org/officeDocument/2006/relationships/hyperlink" Target="https://en.mercopress.com/2021/10/12/uruguay-imf-recommends-addressing-skill-mismatch-between-the-labour-force-and-new-jobs" TargetMode="External"/><Relationship Id="rId5" Type="http://schemas.openxmlformats.org/officeDocument/2006/relationships/hyperlink" Target="https://www.investopedia.com/articles/personal-finance/062315/unemployment-rates-country.asp" TargetMode="External"/><Relationship Id="rId15" Type="http://schemas.openxmlformats.org/officeDocument/2006/relationships/hyperlink" Target="https://www.iol.co.za/business-report/economy/government-plans-to-make-changes-in-infrastructure-development-legislation-to-boost-investments-f612e2a2-3176-4a84-99ef-96bfb3cb0fb7" TargetMode="External"/><Relationship Id="rId23" Type="http://schemas.openxmlformats.org/officeDocument/2006/relationships/hyperlink" Target="https://www.theleaflet.in/politics-of-welfare-or-lack-thereof-of-labour-part-ii/" TargetMode="External"/><Relationship Id="rId10" Type="http://schemas.openxmlformats.org/officeDocument/2006/relationships/hyperlink" Target="https://www.businessinsider.com.au/top-1-have-more-money-than-the-middle-class-2021-10" TargetMode="External"/><Relationship Id="rId19" Type="http://schemas.openxmlformats.org/officeDocument/2006/relationships/hyperlink" Target="https://economictimes.indiatimes.com/news/economy/policy/air-india-privatisation-reflects-govt-resolve-to-bite-reform-bullet-cii/articleshow/86939652.c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malaysianreserve.com/2021/10/06/economists-foresee-inflationary-pressures-but-not-stagflation/?__cf_chl_jschl_tk__=pmd_8hbYEZsvKjAk_PMVcEp5cp3_EmNP0hxIBOLgJXtKt7Y-1634011189-0-gqNtZGzNApCjcnBszQjR" TargetMode="External"/><Relationship Id="rId14" Type="http://schemas.openxmlformats.org/officeDocument/2006/relationships/hyperlink" Target="https://leadership.ng/our-huge-investment-in-technology-is-to-drive-smart-city-project-sanwo-olu/" TargetMode="External"/><Relationship Id="rId22" Type="http://schemas.openxmlformats.org/officeDocument/2006/relationships/hyperlink" Target="https://economictimes.indiatimes.com/tech/tech-bytes/no-let-up-in-chinas-aim-to-curb-tech-monopolies-says-pboc-governor/articleshow/86909334.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Zhang</dc:creator>
  <cp:keywords/>
  <dc:description/>
  <cp:lastModifiedBy>Jerry Zhang</cp:lastModifiedBy>
  <cp:revision>1</cp:revision>
  <dcterms:created xsi:type="dcterms:W3CDTF">2022-01-17T08:53:00Z</dcterms:created>
  <dcterms:modified xsi:type="dcterms:W3CDTF">2022-01-17T09:27:00Z</dcterms:modified>
</cp:coreProperties>
</file>